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5F54" w14:textId="77777777" w:rsidR="00653709" w:rsidRDefault="00653709" w:rsidP="00A34B7F">
      <w:pPr>
        <w:spacing w:after="0" w:line="240" w:lineRule="auto"/>
      </w:pPr>
      <w:bookmarkStart w:id="0" w:name="_GoBack"/>
      <w:bookmarkEnd w:id="0"/>
    </w:p>
    <w:p w14:paraId="1F395F55" w14:textId="77777777" w:rsidR="00653709" w:rsidRDefault="00653709" w:rsidP="00A34B7F">
      <w:pPr>
        <w:spacing w:after="0" w:line="240" w:lineRule="auto"/>
      </w:pPr>
    </w:p>
    <w:p w14:paraId="1F395F56" w14:textId="77777777" w:rsidR="00653709" w:rsidRDefault="00653709" w:rsidP="00A34B7F">
      <w:pPr>
        <w:spacing w:after="0" w:line="240" w:lineRule="auto"/>
      </w:pPr>
    </w:p>
    <w:p w14:paraId="1F395F57" w14:textId="77777777" w:rsidR="00653709" w:rsidRDefault="00653709" w:rsidP="00A34B7F">
      <w:pPr>
        <w:spacing w:after="0" w:line="240" w:lineRule="auto"/>
      </w:pPr>
    </w:p>
    <w:p w14:paraId="1F395F58" w14:textId="77777777" w:rsidR="00A34B7F" w:rsidRPr="00653709" w:rsidRDefault="00A34B7F" w:rsidP="00A34B7F">
      <w:pPr>
        <w:spacing w:after="0" w:line="240" w:lineRule="auto"/>
      </w:pPr>
      <w:r w:rsidRPr="00653709">
        <w:t>Aan alle personeelsleden van Stichting SOM die deelnemen aan de collectieve IPAP-verzekering</w:t>
      </w:r>
      <w:r w:rsidR="006B3461">
        <w:t xml:space="preserve"> met dekking voor gedeeltelijke arbeidsongeschiktheid</w:t>
      </w:r>
    </w:p>
    <w:p w14:paraId="1F395F59" w14:textId="77777777" w:rsidR="00A34B7F" w:rsidRDefault="00A34B7F" w:rsidP="00A34B7F">
      <w:pPr>
        <w:spacing w:after="0" w:line="240" w:lineRule="auto"/>
      </w:pPr>
    </w:p>
    <w:p w14:paraId="1F395F5A" w14:textId="77777777" w:rsidR="00A34B7F" w:rsidRDefault="00A34B7F" w:rsidP="00A34B7F">
      <w:pPr>
        <w:spacing w:after="0" w:line="240" w:lineRule="auto"/>
      </w:pPr>
    </w:p>
    <w:p w14:paraId="1F395F5B" w14:textId="77777777" w:rsidR="00A34B7F" w:rsidRDefault="00A34B7F" w:rsidP="00A34B7F">
      <w:pPr>
        <w:spacing w:after="0" w:line="240" w:lineRule="auto"/>
      </w:pPr>
      <w:r>
        <w:t>Bergen op Zoom, 28 november 2013</w:t>
      </w:r>
    </w:p>
    <w:p w14:paraId="1F395F5C" w14:textId="77777777" w:rsidR="00A34B7F" w:rsidRDefault="00A34B7F" w:rsidP="00A34B7F">
      <w:pPr>
        <w:spacing w:after="0" w:line="240" w:lineRule="auto"/>
      </w:pPr>
    </w:p>
    <w:p w14:paraId="1F395F5D" w14:textId="77777777" w:rsidR="00ED74ED" w:rsidRDefault="00ED74ED" w:rsidP="00A34B7F">
      <w:pPr>
        <w:spacing w:after="0" w:line="240" w:lineRule="auto"/>
      </w:pPr>
    </w:p>
    <w:p w14:paraId="1F395F5E" w14:textId="77777777" w:rsidR="00A34B7F" w:rsidRDefault="00A34B7F" w:rsidP="00A34B7F">
      <w:pPr>
        <w:spacing w:after="0" w:line="240" w:lineRule="auto"/>
      </w:pPr>
    </w:p>
    <w:p w14:paraId="1F395F5F" w14:textId="77777777" w:rsidR="00A34B7F" w:rsidRDefault="00A34B7F" w:rsidP="00A34B7F">
      <w:pPr>
        <w:spacing w:after="0" w:line="240" w:lineRule="auto"/>
      </w:pPr>
      <w:r>
        <w:t>Geachte deelnemer,</w:t>
      </w:r>
    </w:p>
    <w:p w14:paraId="1F395F60" w14:textId="77777777" w:rsidR="00A34B7F" w:rsidRDefault="00A34B7F" w:rsidP="00A34B7F">
      <w:pPr>
        <w:spacing w:after="0" w:line="240" w:lineRule="auto"/>
      </w:pPr>
    </w:p>
    <w:p w14:paraId="1F395F61" w14:textId="77777777" w:rsidR="00A34B7F" w:rsidRDefault="00A34B7F" w:rsidP="00A34B7F">
      <w:pPr>
        <w:spacing w:after="0" w:line="240" w:lineRule="auto"/>
      </w:pPr>
      <w:r>
        <w:t xml:space="preserve">Het kabinet heeft besloten dat de AOW-leeftijd stapsgewijs wordt verhoogd. Dat betekent dat u, afhankelijk van uw geboortedatum, niet onmiddellijk op uw 65e een AOW-uitkering krijgt. </w:t>
      </w:r>
    </w:p>
    <w:p w14:paraId="1F395F62" w14:textId="77777777" w:rsidR="00A34B7F" w:rsidRDefault="00A34B7F" w:rsidP="00A34B7F">
      <w:pPr>
        <w:spacing w:after="0" w:line="240" w:lineRule="auto"/>
      </w:pPr>
    </w:p>
    <w:p w14:paraId="1F395F63" w14:textId="77777777" w:rsidR="00D93409" w:rsidRDefault="00A34B7F" w:rsidP="00A34B7F">
      <w:pPr>
        <w:spacing w:after="0" w:line="240" w:lineRule="auto"/>
      </w:pPr>
      <w:r>
        <w:t>Vanaf 1 januari 2014 sluit de arbeidsongeschiktheidsverzekering van Loyalis aan op d</w:t>
      </w:r>
      <w:r w:rsidR="006B3461">
        <w:t>e verhoging van de AOW-leeftijd</w:t>
      </w:r>
      <w:r>
        <w:t>. Dat betekent dat de einddatum van de verzekering én de uitkering opschuiven. B</w:t>
      </w:r>
      <w:r w:rsidR="00D93409">
        <w:t>ij arbeidsongeschiktheid krijgt u</w:t>
      </w:r>
      <w:r>
        <w:t xml:space="preserve"> voortaan een uitkering tot </w:t>
      </w:r>
      <w:r w:rsidR="00D93409">
        <w:t>uw</w:t>
      </w:r>
      <w:r>
        <w:t xml:space="preserve"> AOW-leeftijd. Zo </w:t>
      </w:r>
      <w:r w:rsidR="00D93409">
        <w:t>wordt voorkomen dat uw</w:t>
      </w:r>
      <w:r>
        <w:t xml:space="preserve"> inkomen op bijstandsniveau terechtkomt.</w:t>
      </w:r>
      <w:r w:rsidR="004A08D9">
        <w:t xml:space="preserve"> </w:t>
      </w:r>
      <w:r w:rsidR="000C6F35" w:rsidRPr="000C6F35">
        <w:t xml:space="preserve">Omdat </w:t>
      </w:r>
      <w:r w:rsidR="000C6F35">
        <w:t>Loyalis</w:t>
      </w:r>
      <w:r w:rsidR="000C6F35" w:rsidRPr="000C6F35">
        <w:t xml:space="preserve"> </w:t>
      </w:r>
      <w:r w:rsidR="000C6F35">
        <w:t>dit</w:t>
      </w:r>
      <w:r w:rsidR="000C6F35" w:rsidRPr="000C6F35">
        <w:t xml:space="preserve"> inkomensverlies </w:t>
      </w:r>
      <w:r w:rsidR="000C6F35">
        <w:t>compenseert</w:t>
      </w:r>
      <w:r w:rsidR="000C6F35" w:rsidRPr="000C6F35">
        <w:t xml:space="preserve">, passen </w:t>
      </w:r>
      <w:r w:rsidR="000C6F35">
        <w:t>z</w:t>
      </w:r>
      <w:r w:rsidR="000C6F35" w:rsidRPr="000C6F35">
        <w:t xml:space="preserve">ij </w:t>
      </w:r>
      <w:r w:rsidR="000C6F35">
        <w:t>met ingang van</w:t>
      </w:r>
      <w:r w:rsidR="000C6F35" w:rsidRPr="000C6F35">
        <w:t xml:space="preserve"> 1 januari 2014 </w:t>
      </w:r>
      <w:r w:rsidR="000C6F35">
        <w:t xml:space="preserve">de </w:t>
      </w:r>
      <w:r w:rsidR="000C6F35" w:rsidRPr="000C6F35">
        <w:t xml:space="preserve">premie aan. </w:t>
      </w:r>
    </w:p>
    <w:p w14:paraId="1F395F64" w14:textId="77777777" w:rsidR="000C6F35" w:rsidRDefault="000C6F35" w:rsidP="00A34B7F">
      <w:pPr>
        <w:spacing w:after="0" w:line="240" w:lineRule="auto"/>
      </w:pPr>
    </w:p>
    <w:p w14:paraId="1F395F65" w14:textId="77777777" w:rsidR="00C61DA4" w:rsidRDefault="004A08D9" w:rsidP="00A34B7F">
      <w:pPr>
        <w:spacing w:after="0" w:line="240" w:lineRule="auto"/>
      </w:pPr>
      <w:r>
        <w:t xml:space="preserve">Met ingang van 1 januari 2014 verhoogt Loyalis de premie voor </w:t>
      </w:r>
      <w:r w:rsidR="000C6F35">
        <w:t xml:space="preserve">de </w:t>
      </w:r>
      <w:r w:rsidR="00C61DA4">
        <w:t xml:space="preserve">gedeeltelijke </w:t>
      </w:r>
      <w:r w:rsidR="000C6F35">
        <w:t>arbeidsongeschikt</w:t>
      </w:r>
      <w:r w:rsidR="00C61DA4">
        <w:t>-</w:t>
      </w:r>
      <w:r w:rsidR="000C6F35">
        <w:t>heidverzekering</w:t>
      </w:r>
      <w:r w:rsidR="00845200">
        <w:t xml:space="preserve"> met bijna 10%</w:t>
      </w:r>
      <w:r w:rsidR="00C61DA4">
        <w:t>. De premie</w:t>
      </w:r>
      <w:r w:rsidR="000C6F35">
        <w:t xml:space="preserve"> vanuit het collectieve contract </w:t>
      </w:r>
      <w:r w:rsidR="00C61DA4">
        <w:t xml:space="preserve">was </w:t>
      </w:r>
      <w:r w:rsidR="000C6F35">
        <w:t>0,292%</w:t>
      </w:r>
      <w:r w:rsidR="00C61DA4">
        <w:t xml:space="preserve">, en wordt </w:t>
      </w:r>
      <w:r w:rsidR="000C6F35" w:rsidRPr="000C6F35">
        <w:t>0,</w:t>
      </w:r>
      <w:r w:rsidR="000C6F35">
        <w:t>320</w:t>
      </w:r>
      <w:r w:rsidR="000C6F35" w:rsidRPr="000C6F35">
        <w:t>% van het bruto maandsalaris</w:t>
      </w:r>
      <w:r w:rsidR="00C61DA4">
        <w:t xml:space="preserve">. </w:t>
      </w:r>
    </w:p>
    <w:p w14:paraId="1F395F66" w14:textId="77777777" w:rsidR="008C4E5F" w:rsidRDefault="008C4E5F" w:rsidP="00A34B7F">
      <w:pPr>
        <w:spacing w:after="0" w:line="240" w:lineRule="auto"/>
      </w:pPr>
    </w:p>
    <w:p w14:paraId="1F395F67" w14:textId="77777777" w:rsidR="008C4E5F" w:rsidRDefault="008C4E5F" w:rsidP="00A34B7F">
      <w:pPr>
        <w:spacing w:after="0" w:line="240" w:lineRule="auto"/>
      </w:pPr>
      <w:r>
        <w:t>Onderstaand vindt u een overzicht van de (nieuwe) AOW-leeftijden en de bijbehorende leeftijden waarop de polis premievrij wordt.</w:t>
      </w:r>
    </w:p>
    <w:p w14:paraId="1F395F68" w14:textId="77777777" w:rsidR="00266753" w:rsidRDefault="008C4E5F" w:rsidP="00A34B7F">
      <w:pPr>
        <w:spacing w:after="0" w:line="240" w:lineRule="auto"/>
      </w:pPr>
      <w:r>
        <w:t xml:space="preserve">Premievrijheid ontstaat </w:t>
      </w:r>
      <w:r w:rsidRPr="008C4E5F">
        <w:t>bij de gedee</w:t>
      </w:r>
      <w:r w:rsidR="00653709">
        <w:t>ltelijke arbeidsongeschiktheid</w:t>
      </w:r>
      <w:r w:rsidR="00166D6E">
        <w:t>verzekering</w:t>
      </w:r>
      <w:r w:rsidR="00653709">
        <w:t xml:space="preserve"> vijf jaar</w:t>
      </w:r>
      <w:r w:rsidRPr="008C4E5F">
        <w:t xml:space="preserve"> voor het bereiken van de AOW-leeftijd.</w:t>
      </w:r>
      <w:r w:rsidR="00166D6E">
        <w:t xml:space="preserve"> </w:t>
      </w:r>
      <w:r w:rsidR="00653709">
        <w:t xml:space="preserve">Bent u op 1 januari 2014 op grond van uw leeftijd al premievrij, dan blijft u premievrij tot het bereiken van de AOW-leeftijd. </w:t>
      </w:r>
    </w:p>
    <w:p w14:paraId="1F395F69" w14:textId="77777777" w:rsidR="00653709" w:rsidRDefault="00653709" w:rsidP="00A34B7F">
      <w:pPr>
        <w:spacing w:after="0" w:line="240" w:lineRule="auto"/>
      </w:pPr>
    </w:p>
    <w:tbl>
      <w:tblPr>
        <w:tblW w:w="7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55"/>
        <w:gridCol w:w="1045"/>
        <w:gridCol w:w="1364"/>
        <w:gridCol w:w="754"/>
        <w:gridCol w:w="1382"/>
        <w:gridCol w:w="1120"/>
      </w:tblGrid>
      <w:tr w:rsidR="00653709" w:rsidRPr="00653709" w14:paraId="1F395F73" w14:textId="77777777" w:rsidTr="00653709">
        <w:trPr>
          <w:trHeight w:val="510"/>
          <w:jc w:val="center"/>
        </w:trPr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6A" w14:textId="77777777" w:rsidR="00653709" w:rsidRPr="00653709" w:rsidRDefault="00653709" w:rsidP="0065370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395F6B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09">
              <w:rPr>
                <w:rFonts w:ascii="Arial" w:hAnsi="Arial" w:cs="Arial"/>
                <w:b/>
                <w:bCs/>
                <w:sz w:val="16"/>
                <w:szCs w:val="16"/>
              </w:rPr>
              <w:t>Geboren: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6C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F395F6D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53709">
              <w:rPr>
                <w:rFonts w:ascii="Arial" w:hAnsi="Arial" w:cs="Arial"/>
                <w:b/>
                <w:bCs/>
                <w:sz w:val="16"/>
                <w:szCs w:val="16"/>
              </w:rPr>
              <w:t>AOW in: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6E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F395F6F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53709">
              <w:rPr>
                <w:rFonts w:ascii="Arial" w:hAnsi="Arial" w:cs="Arial"/>
                <w:b/>
                <w:bCs/>
                <w:sz w:val="16"/>
                <w:szCs w:val="16"/>
              </w:rPr>
              <w:t>leeftijd ingang AOW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70" w14:textId="77777777" w:rsidR="00653709" w:rsidRPr="00653709" w:rsidRDefault="00653709" w:rsidP="00653709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F395F71" w14:textId="77777777" w:rsidR="00653709" w:rsidRPr="00653709" w:rsidRDefault="00653709" w:rsidP="00653709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709">
              <w:rPr>
                <w:rFonts w:ascii="Arial" w:hAnsi="Arial" w:cs="Arial"/>
                <w:b/>
                <w:bCs/>
                <w:sz w:val="16"/>
                <w:szCs w:val="16"/>
              </w:rPr>
              <w:t>Premievrij</w:t>
            </w:r>
          </w:p>
          <w:p w14:paraId="1F395F72" w14:textId="77777777" w:rsidR="00653709" w:rsidRPr="00653709" w:rsidRDefault="00653709" w:rsidP="00653709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53709">
              <w:rPr>
                <w:rFonts w:ascii="Arial" w:hAnsi="Arial" w:cs="Arial"/>
                <w:b/>
                <w:bCs/>
                <w:sz w:val="16"/>
                <w:szCs w:val="16"/>
              </w:rPr>
              <w:t>IPAP GAO</w:t>
            </w:r>
          </w:p>
        </w:tc>
      </w:tr>
      <w:tr w:rsidR="00653709" w:rsidRPr="00653709" w14:paraId="1F395F7B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74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75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6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7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01-01-1948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8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9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A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53709" w:rsidRPr="00653709" w14:paraId="1F395F83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C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D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31-12-1947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E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7F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01-12-1948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0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1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2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653709" w:rsidRPr="00653709" w14:paraId="1F395F8B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4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5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30-11-1948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6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7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01-11-1949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8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9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A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</w:tr>
      <w:tr w:rsidR="00653709" w:rsidRPr="00653709" w14:paraId="1F395F93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C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D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31-10-1949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E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8F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01-10-1950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0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1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2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53709" w:rsidRPr="00653709" w14:paraId="1F395F9B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4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5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30-09-1950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6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7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01-08-1951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8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9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A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653709" w:rsidRPr="00653709" w14:paraId="1F395FA3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C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D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31-07-1951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E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9F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01-06-1952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0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1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2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653709" w:rsidRPr="00653709" w14:paraId="1F395FAB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4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5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31-05-1952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6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7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01-04-1953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8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9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A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653709" w:rsidRPr="00653709" w14:paraId="1F395FB3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C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D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31-03-1953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E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AF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01-01-1954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0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1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2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653709" w:rsidRPr="00653709" w14:paraId="1F395FBB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4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5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31-12-1953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6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7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01-10-1954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8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9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A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</w:tr>
      <w:tr w:rsidR="00653709" w:rsidRPr="00653709" w14:paraId="1F395FC3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C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D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30-09-1954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E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BF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01-07-1955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0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1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2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</w:tr>
      <w:tr w:rsidR="00653709" w:rsidRPr="00653709" w14:paraId="1F395FCB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4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5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30-06-1955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6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7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01-04-1956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8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9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A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653709" w:rsidRPr="00653709" w14:paraId="1F395FD3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C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D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31-03-1956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E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en voor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CF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01-01-1957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0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1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2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653709" w:rsidRPr="00653709" w14:paraId="1F395FDB" w14:textId="77777777" w:rsidTr="0065370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4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5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31-12-1956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D6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FD7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8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9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FDA" w14:textId="77777777" w:rsidR="00653709" w:rsidRPr="00653709" w:rsidRDefault="00653709" w:rsidP="00653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709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</w:tbl>
    <w:p w14:paraId="1F395FDC" w14:textId="77777777" w:rsidR="002373CC" w:rsidRDefault="002373CC" w:rsidP="00653709">
      <w:pPr>
        <w:spacing w:after="0" w:line="240" w:lineRule="auto"/>
      </w:pPr>
    </w:p>
    <w:p w14:paraId="1F395FDD" w14:textId="77777777" w:rsidR="002373CC" w:rsidRDefault="002373CC" w:rsidP="00653709">
      <w:pPr>
        <w:spacing w:after="0" w:line="240" w:lineRule="auto"/>
      </w:pPr>
    </w:p>
    <w:p w14:paraId="1F395FDE" w14:textId="77777777" w:rsidR="00653709" w:rsidRDefault="00653709" w:rsidP="00653709">
      <w:pPr>
        <w:spacing w:after="0" w:line="240" w:lineRule="auto"/>
      </w:pPr>
      <w:r>
        <w:t xml:space="preserve">In verband met de premiestijging is het </w:t>
      </w:r>
      <w:r w:rsidR="00ED74ED">
        <w:t xml:space="preserve">uiteraard </w:t>
      </w:r>
      <w:r>
        <w:t xml:space="preserve">mogelijk om van de </w:t>
      </w:r>
      <w:r w:rsidR="006B3461">
        <w:t xml:space="preserve">collectieve </w:t>
      </w:r>
      <w:r>
        <w:t xml:space="preserve">gedeeltelijke arbeidsongeschiktheidsverzekering af te zien. Houdt er wel rekening mee dat bij een eventuele nieuwe aanmelding de blanco acceptatie niet meer geldig is. </w:t>
      </w:r>
    </w:p>
    <w:p w14:paraId="1F395FDF" w14:textId="77777777" w:rsidR="00653709" w:rsidRDefault="00653709" w:rsidP="00653709">
      <w:pPr>
        <w:spacing w:after="0" w:line="240" w:lineRule="auto"/>
      </w:pPr>
    </w:p>
    <w:p w14:paraId="1F395FE0" w14:textId="77777777" w:rsidR="00653709" w:rsidRDefault="00653709" w:rsidP="00ED74ED">
      <w:r w:rsidRPr="00653709">
        <w:t xml:space="preserve">Indien u </w:t>
      </w:r>
      <w:r w:rsidR="00ED74ED">
        <w:t xml:space="preserve">(tevens) </w:t>
      </w:r>
      <w:r w:rsidRPr="00653709">
        <w:t xml:space="preserve">een verzekering heeft afgesloten voor </w:t>
      </w:r>
      <w:r w:rsidR="00ED74ED">
        <w:t xml:space="preserve">dekking bij </w:t>
      </w:r>
      <w:r w:rsidRPr="00653709">
        <w:t>volledige arb</w:t>
      </w:r>
      <w:r w:rsidR="00ED74ED">
        <w:t xml:space="preserve">eidsongeschiktheid, dan heeft u </w:t>
      </w:r>
      <w:r w:rsidRPr="00653709">
        <w:t xml:space="preserve">daarover </w:t>
      </w:r>
      <w:r w:rsidR="00ED74ED">
        <w:t>onlangs</w:t>
      </w:r>
      <w:r w:rsidRPr="00653709">
        <w:t xml:space="preserve"> bericht </w:t>
      </w:r>
      <w:r w:rsidR="00ED74ED">
        <w:t>ontvangen</w:t>
      </w:r>
      <w:r w:rsidRPr="00653709">
        <w:t xml:space="preserve"> van Loyalis.</w:t>
      </w:r>
    </w:p>
    <w:p w14:paraId="1F395FE1" w14:textId="77777777" w:rsidR="00653709" w:rsidRDefault="00653709" w:rsidP="00A34B7F">
      <w:pPr>
        <w:spacing w:after="0" w:line="240" w:lineRule="auto"/>
      </w:pPr>
      <w:r>
        <w:t>Indien u vragen heeft, kunt u contact opnemen met onze personeelsfunctionaris Denise van Gameren. Zij is bereikbaar op telefoonnummer 0164-235225.</w:t>
      </w:r>
    </w:p>
    <w:p w14:paraId="1F395FE2" w14:textId="77777777" w:rsidR="00653709" w:rsidRDefault="00653709" w:rsidP="00A34B7F">
      <w:pPr>
        <w:spacing w:after="0" w:line="240" w:lineRule="auto"/>
      </w:pPr>
    </w:p>
    <w:p w14:paraId="1F395FE3" w14:textId="77777777" w:rsidR="00653709" w:rsidRDefault="00653709" w:rsidP="00A34B7F">
      <w:pPr>
        <w:spacing w:after="0" w:line="240" w:lineRule="auto"/>
      </w:pPr>
      <w:r>
        <w:t>Er op vertrouwend u hiermee voldoende geïnformeerd te hebben.</w:t>
      </w:r>
    </w:p>
    <w:p w14:paraId="1F395FE4" w14:textId="77777777" w:rsidR="00653709" w:rsidRDefault="00653709" w:rsidP="00A34B7F">
      <w:pPr>
        <w:spacing w:after="0" w:line="240" w:lineRule="auto"/>
      </w:pPr>
    </w:p>
    <w:p w14:paraId="1F395FE5" w14:textId="77777777" w:rsidR="00653709" w:rsidRDefault="00653709" w:rsidP="00A34B7F">
      <w:pPr>
        <w:spacing w:after="0" w:line="240" w:lineRule="auto"/>
      </w:pPr>
    </w:p>
    <w:p w14:paraId="1F395FE6" w14:textId="77777777" w:rsidR="00653709" w:rsidRDefault="00653709" w:rsidP="00A34B7F">
      <w:pPr>
        <w:spacing w:after="0" w:line="240" w:lineRule="auto"/>
      </w:pPr>
      <w:r>
        <w:t>Met vriendelijke groet,</w:t>
      </w:r>
    </w:p>
    <w:p w14:paraId="1F395FE7" w14:textId="77777777" w:rsidR="00653709" w:rsidRDefault="00653709" w:rsidP="00A34B7F">
      <w:pPr>
        <w:spacing w:after="0" w:line="240" w:lineRule="auto"/>
      </w:pPr>
    </w:p>
    <w:p w14:paraId="1F395FE8" w14:textId="77777777" w:rsidR="00653709" w:rsidRDefault="00653709" w:rsidP="00A34B7F">
      <w:pPr>
        <w:spacing w:after="0" w:line="240" w:lineRule="auto"/>
      </w:pPr>
    </w:p>
    <w:p w14:paraId="1F395FE9" w14:textId="77777777" w:rsidR="00653709" w:rsidRDefault="00653709" w:rsidP="00A34B7F">
      <w:pPr>
        <w:spacing w:after="0" w:line="240" w:lineRule="auto"/>
      </w:pPr>
    </w:p>
    <w:p w14:paraId="1F395FEA" w14:textId="77777777" w:rsidR="00653709" w:rsidRDefault="00653709" w:rsidP="00A34B7F">
      <w:pPr>
        <w:spacing w:after="0" w:line="240" w:lineRule="auto"/>
      </w:pPr>
      <w:r>
        <w:t>L.L.M. Soffers</w:t>
      </w:r>
    </w:p>
    <w:p w14:paraId="1F395FEB" w14:textId="77777777" w:rsidR="00653709" w:rsidRDefault="00653709" w:rsidP="00A34B7F">
      <w:pPr>
        <w:spacing w:after="0" w:line="240" w:lineRule="auto"/>
      </w:pPr>
      <w:r>
        <w:t>algemeen directeur / bestuurder</w:t>
      </w:r>
    </w:p>
    <w:sectPr w:rsidR="006537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95FEE" w14:textId="77777777" w:rsidR="00C61DA4" w:rsidRDefault="00C61DA4" w:rsidP="00C61DA4">
      <w:pPr>
        <w:spacing w:after="0" w:line="240" w:lineRule="auto"/>
      </w:pPr>
      <w:r>
        <w:separator/>
      </w:r>
    </w:p>
  </w:endnote>
  <w:endnote w:type="continuationSeparator" w:id="0">
    <w:p w14:paraId="1F395FEF" w14:textId="77777777" w:rsidR="00C61DA4" w:rsidRDefault="00C61DA4" w:rsidP="00C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565006"/>
      <w:docPartObj>
        <w:docPartGallery w:val="Page Numbers (Bottom of Page)"/>
        <w:docPartUnique/>
      </w:docPartObj>
    </w:sdtPr>
    <w:sdtEndPr/>
    <w:sdtContent>
      <w:p w14:paraId="1F395FF1" w14:textId="77777777" w:rsidR="00653709" w:rsidRDefault="0065370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44A">
          <w:rPr>
            <w:noProof/>
          </w:rPr>
          <w:t>1</w:t>
        </w:r>
        <w:r>
          <w:fldChar w:fldCharType="end"/>
        </w:r>
      </w:p>
    </w:sdtContent>
  </w:sdt>
  <w:p w14:paraId="1F395FF2" w14:textId="77777777" w:rsidR="00653709" w:rsidRDefault="006537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95FEC" w14:textId="77777777" w:rsidR="00C61DA4" w:rsidRDefault="00C61DA4" w:rsidP="00C61DA4">
      <w:pPr>
        <w:spacing w:after="0" w:line="240" w:lineRule="auto"/>
      </w:pPr>
      <w:r>
        <w:separator/>
      </w:r>
    </w:p>
  </w:footnote>
  <w:footnote w:type="continuationSeparator" w:id="0">
    <w:p w14:paraId="1F395FED" w14:textId="77777777" w:rsidR="00C61DA4" w:rsidRDefault="00C61DA4" w:rsidP="00C6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5FF0" w14:textId="77777777" w:rsidR="002373CC" w:rsidRDefault="002373CC" w:rsidP="002373C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F395FF3" wp14:editId="1F395FF4">
          <wp:extent cx="1524000" cy="762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F"/>
    <w:rsid w:val="000C6F35"/>
    <w:rsid w:val="00166D6E"/>
    <w:rsid w:val="002373CC"/>
    <w:rsid w:val="00266753"/>
    <w:rsid w:val="00361426"/>
    <w:rsid w:val="004A08D9"/>
    <w:rsid w:val="00653709"/>
    <w:rsid w:val="006A644A"/>
    <w:rsid w:val="006B3461"/>
    <w:rsid w:val="00845200"/>
    <w:rsid w:val="008C4E5F"/>
    <w:rsid w:val="00A34B7F"/>
    <w:rsid w:val="00C61DA4"/>
    <w:rsid w:val="00D66EF5"/>
    <w:rsid w:val="00D93409"/>
    <w:rsid w:val="00EA1981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95F54"/>
  <w15:docId w15:val="{341A430A-EB85-44D2-BD6D-E65D1EF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DA4"/>
  </w:style>
  <w:style w:type="paragraph" w:styleId="Voettekst">
    <w:name w:val="footer"/>
    <w:basedOn w:val="Standaard"/>
    <w:link w:val="VoettekstChar"/>
    <w:uiPriority w:val="99"/>
    <w:unhideWhenUsed/>
    <w:rsid w:val="00C6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DA4"/>
  </w:style>
  <w:style w:type="paragraph" w:styleId="Ballontekst">
    <w:name w:val="Balloon Text"/>
    <w:basedOn w:val="Standaard"/>
    <w:link w:val="BallontekstChar"/>
    <w:uiPriority w:val="99"/>
    <w:semiHidden/>
    <w:unhideWhenUsed/>
    <w:rsid w:val="0023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E0E0A955A3D4ABF85FACBCBFD76D8" ma:contentTypeVersion="2" ma:contentTypeDescription="Een nieuw document maken." ma:contentTypeScope="" ma:versionID="aa2823c367a9b8d954d343a957846315">
  <xsd:schema xmlns:xsd="http://www.w3.org/2001/XMLSchema" xmlns:xs="http://www.w3.org/2001/XMLSchema" xmlns:p="http://schemas.microsoft.com/office/2006/metadata/properties" xmlns:ns2="db87dd80-ac97-48ea-948f-3032ee3f15c2" targetNamespace="http://schemas.microsoft.com/office/2006/metadata/properties" ma:root="true" ma:fieldsID="ee1429865ada6e0a4c08342ae91fde02" ns2:_="">
    <xsd:import namespace="db87dd80-ac97-48ea-948f-3032ee3f1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dd80-ac97-48ea-948f-3032ee3f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78A2C-FB16-43E3-B199-DE21BE1945A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db87dd80-ac97-48ea-948f-3032ee3f15c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DAE0C6-0E95-4D1C-9F7A-B611CCE5E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1AEAF-416F-450A-BC8A-075EF506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7dd80-ac97-48ea-948f-3032ee3f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DataByte Hosting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van Gameren</dc:creator>
  <cp:keywords/>
  <dc:description/>
  <cp:lastModifiedBy>Denise van Gameren</cp:lastModifiedBy>
  <cp:revision>2</cp:revision>
  <cp:lastPrinted>2013-11-28T09:56:00Z</cp:lastPrinted>
  <dcterms:created xsi:type="dcterms:W3CDTF">2016-01-18T14:35:00Z</dcterms:created>
  <dcterms:modified xsi:type="dcterms:W3CDTF">2016-01-18T14:35:00Z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0x010100265E0E0A955A3D4ABF85FACBCBFD76D8</vt:lpwstr>
  </property>
</Properties>
</file>